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lang w:eastAsia="zh-CN"/>
        </w:rPr>
        <w:t>关于举办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</w:rPr>
        <w:t>“启夏杯”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lang w:eastAsia="zh-CN"/>
        </w:rPr>
        <w:t>大学生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</w:rPr>
        <w:t>辩论赛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lang w:eastAsia="zh-CN"/>
        </w:rPr>
        <w:t>的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</w:rPr>
        <w:t>通知</w:t>
      </w:r>
    </w:p>
    <w:p>
      <w:pPr>
        <w:rPr>
          <w:rFonts w:ascii="黑体" w:hAnsi="黑体" w:eastAsia="黑体"/>
          <w:sz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各学院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团委（总支）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为深入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学习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贯彻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党的十九大精神和习近平新时代中国特色社会主义思想，</w:t>
      </w:r>
      <w:r>
        <w:rPr>
          <w:rFonts w:hint="default" w:ascii="仿宋_GB2312" w:hAnsi="微软雅黑" w:eastAsia="仿宋_GB2312" w:cs="宋体"/>
          <w:color w:val="333333"/>
          <w:kern w:val="0"/>
          <w:sz w:val="32"/>
          <w:szCs w:val="32"/>
        </w:rPr>
        <w:t>培育和践行社会主义核心价值观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丰富大学生的校园文化生活，展现大学生的青春风采，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提升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大学生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思辨、团队协作能力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。经校团委研究，决定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举办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2018年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“启夏杯”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大学生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辩论赛。现将有关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事宜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  <w:lang w:eastAsia="zh-CN"/>
        </w:rPr>
        <w:t>一、</w:t>
      </w: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组织机构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主办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 xml:space="preserve">：校团委 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校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学生会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承办：历史文化学院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历史文化学院学生会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二、</w:t>
      </w: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赛制及赛程安排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（一）比赛规则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1.比赛采用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人制赛制，每队参赛选手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-6名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（其中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2名是替补选手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，每场比赛确定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名正式选手参赛，比赛中途不得更换选手。赛程分初赛、复赛、半决赛、决赛四个阶段进行，赛场设在我校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长安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校区（具体地点另行通知）。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各学院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选派一支代表队参赛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双方针对辩题分别以正反两个角度进行辩论。每场比赛流程分为：开篇立论、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辩与盘问、自由辩论、观众提问、总结陈词五个阶段。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" w:hAnsi="仿宋" w:eastAsia="仿宋"/>
          <w:color w:val="FF0000"/>
          <w:sz w:val="28"/>
          <w:szCs w:val="28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.赛事组委会将在报名结束后确定具体赛程安排，各参赛队伍的比赛对阵场次和辩题将通过统一抽签决定。具体比赛流程详见附件1。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(二)赛程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具体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安排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1、初赛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5月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22个学院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参赛代表队分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A、B两组（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所有比赛抽签均为：A正方，B反方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），每组11支代表队，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分为A1-A11、B1-B11两组，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每组派代表抽签，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highlight w:val="none"/>
        </w:rPr>
        <w:t>数字相同的两队进行比赛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，共进行11场比赛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根据评委打分，获胜队伍进入复赛。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、复赛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5月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-5月30日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highlight w:val="yellow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第一轮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5月26日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初赛晋级的11支队伍进行抽签，其中一支队伍抽中轮空直接进入第二轮，其余十支队伍分别抽中A1-A5，B1-B5，数字相同的两支队伍进行比赛，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每组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获胜的五支队伍和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淘汰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队伍中的分数最高前两名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同时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进入第二轮。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第二轮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5月30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第一轮晋级的八支队伍进行抽签A1-A4，B1-B4，数字相同的两支队伍进行比赛，获胜的四支队伍进入半决赛。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3、半决赛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复赛晋级的四支队伍进行抽签A1、A2、B1、B2，数字相同的两支队伍进行比赛，获胜的两支队伍进入决赛，淘汰的两支队伍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进入季军争夺赛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4、决赛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半决赛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四支队伍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抽签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选择正反方，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进行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冠亚季军争夺赛。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三、组委会评委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本次比赛设专家评委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库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和学生评委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库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，专家评委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库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由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机关职能处室代表、教师代表、研究生代表、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校学生会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代表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组成；学生评委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库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由各学院推荐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学生干部组成。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32"/>
          <w:szCs w:val="32"/>
        </w:rPr>
        <w:t>四、报名及参赛要求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both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参赛选手应为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陕西师范大学在校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全日制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本科生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和研究生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，每个学院报一支参赛队伍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，参赛队伍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包含至少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名辩手，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研究生辩手数量不超过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1人（辩手也可全是本科生），同时各学院需上报1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名指导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教师及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1名学生评委（非参赛人员）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各学院根据要求填写报名信息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表（附件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于5月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（周五）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中午12点之前将名单发送至组委会公共邮箱2928649943@qq.com，逾期未报名视为弃赛。请各学院认真做好参赛准备工作。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奖项设置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本届赛事设冠军、亚军、季军和优秀组织奖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5个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最佳辩手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优秀辩手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名，对获奖团队和个人颁发获奖证书。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联系人：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历史文化学院学生会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杜青娟 15771973922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张泰 15529287558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附件一 辩论赛流程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附件二 辩论赛报名表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center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center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历史文化学院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right"/>
        <w:textAlignment w:val="auto"/>
        <w:outlineLvl w:val="9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2018年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日</w:t>
      </w:r>
    </w:p>
    <w:p>
      <w:pPr>
        <w:jc w:val="right"/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附件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陕西师范大学“启夏杯”辩论赛报名表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210" w:leftChars="-100" w:right="-420" w:rightChars="-200" w:firstLine="30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参赛队伍：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学院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报名时间：  年  月  日</w:t>
      </w:r>
    </w:p>
    <w:tbl>
      <w:tblPr>
        <w:tblStyle w:val="4"/>
        <w:tblW w:w="8162" w:type="dxa"/>
        <w:tblInd w:w="2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1912"/>
        <w:gridCol w:w="1428"/>
        <w:gridCol w:w="2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70" w:type="dxa"/>
          </w:tcPr>
          <w:p>
            <w:pPr>
              <w:ind w:firstLine="301" w:firstLine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别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学号</w:t>
            </w:r>
          </w:p>
        </w:tc>
        <w:tc>
          <w:tcPr>
            <w:tcW w:w="142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名</w:t>
            </w:r>
          </w:p>
        </w:tc>
        <w:tc>
          <w:tcPr>
            <w:tcW w:w="26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170" w:type="dxa"/>
            <w:vMerge w:val="restart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ind w:firstLine="300" w:firstLineChars="1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参赛队员</w:t>
            </w: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70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170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70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70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70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170" w:type="dxa"/>
          </w:tcPr>
          <w:p>
            <w:pPr>
              <w:ind w:firstLine="300" w:firstLineChars="1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学生评委</w:t>
            </w:r>
          </w:p>
        </w:tc>
        <w:tc>
          <w:tcPr>
            <w:tcW w:w="191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2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指导教师</w:t>
            </w:r>
          </w:p>
        </w:tc>
        <w:tc>
          <w:tcPr>
            <w:tcW w:w="3340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名</w:t>
            </w:r>
          </w:p>
        </w:tc>
        <w:tc>
          <w:tcPr>
            <w:tcW w:w="26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170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3340" w:type="dxa"/>
            <w:gridSpan w:val="2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65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备</w:t>
      </w:r>
      <w:r>
        <w:rPr>
          <w:rFonts w:hint="eastAsia" w:ascii="仿宋_GB2312" w:hAnsi="仿宋_GB2312" w:eastAsia="仿宋_GB2312" w:cs="仿宋_GB2312"/>
          <w:sz w:val="30"/>
          <w:szCs w:val="30"/>
        </w:rPr>
        <w:t>注：</w:t>
      </w:r>
    </w:p>
    <w:p>
      <w:pPr>
        <w:pStyle w:val="5"/>
        <w:numPr>
          <w:ilvl w:val="0"/>
          <w:numId w:val="2"/>
        </w:numPr>
        <w:ind w:firstLineChars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指导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教</w:t>
      </w:r>
      <w:r>
        <w:rPr>
          <w:rFonts w:hint="eastAsia" w:ascii="仿宋_GB2312" w:hAnsi="仿宋_GB2312" w:eastAsia="仿宋_GB2312" w:cs="仿宋_GB2312"/>
          <w:sz w:val="30"/>
          <w:szCs w:val="30"/>
        </w:rPr>
        <w:t>师可为专业课任课教师或辅导员老师</w:t>
      </w:r>
    </w:p>
    <w:p>
      <w:pPr>
        <w:pStyle w:val="5"/>
        <w:numPr>
          <w:ilvl w:val="0"/>
          <w:numId w:val="2"/>
        </w:numPr>
        <w:ind w:firstLineChars="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每支参赛队队员不超过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60B773"/>
    <w:multiLevelType w:val="singleLevel"/>
    <w:tmpl w:val="AE60B77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EED1A80"/>
    <w:multiLevelType w:val="multilevel"/>
    <w:tmpl w:val="4EED1A80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8F"/>
    <w:rsid w:val="004169EE"/>
    <w:rsid w:val="004A23E0"/>
    <w:rsid w:val="006153A5"/>
    <w:rsid w:val="00AA472D"/>
    <w:rsid w:val="00B6048F"/>
    <w:rsid w:val="02A5732D"/>
    <w:rsid w:val="02E05A41"/>
    <w:rsid w:val="04087268"/>
    <w:rsid w:val="044E0CB3"/>
    <w:rsid w:val="0747328D"/>
    <w:rsid w:val="10B6736C"/>
    <w:rsid w:val="147D0035"/>
    <w:rsid w:val="18ED1B28"/>
    <w:rsid w:val="1A805BAC"/>
    <w:rsid w:val="1C0D6728"/>
    <w:rsid w:val="1DE50B49"/>
    <w:rsid w:val="22B849F4"/>
    <w:rsid w:val="23E90724"/>
    <w:rsid w:val="256A08F9"/>
    <w:rsid w:val="285E5D0E"/>
    <w:rsid w:val="2D6C3C27"/>
    <w:rsid w:val="3177137D"/>
    <w:rsid w:val="354036CF"/>
    <w:rsid w:val="355B25E1"/>
    <w:rsid w:val="37F753DE"/>
    <w:rsid w:val="39B56308"/>
    <w:rsid w:val="3D0660FA"/>
    <w:rsid w:val="3F0F0E5F"/>
    <w:rsid w:val="3F1126C2"/>
    <w:rsid w:val="41703F01"/>
    <w:rsid w:val="46EF337C"/>
    <w:rsid w:val="48DD26F2"/>
    <w:rsid w:val="492F5EEC"/>
    <w:rsid w:val="4CE06907"/>
    <w:rsid w:val="4EC13CD9"/>
    <w:rsid w:val="4EC41E6C"/>
    <w:rsid w:val="4FC119BD"/>
    <w:rsid w:val="4FC163BF"/>
    <w:rsid w:val="4FC22499"/>
    <w:rsid w:val="53E96C8B"/>
    <w:rsid w:val="54EE05D8"/>
    <w:rsid w:val="58F14AA9"/>
    <w:rsid w:val="5DDB6467"/>
    <w:rsid w:val="60DE5560"/>
    <w:rsid w:val="617F1476"/>
    <w:rsid w:val="666F36F5"/>
    <w:rsid w:val="68BD69DB"/>
    <w:rsid w:val="6B5E5DC9"/>
    <w:rsid w:val="6C5F29CE"/>
    <w:rsid w:val="6CB65908"/>
    <w:rsid w:val="6D2C48D5"/>
    <w:rsid w:val="70C73E7E"/>
    <w:rsid w:val="74FF0D38"/>
    <w:rsid w:val="7594353D"/>
    <w:rsid w:val="78F12595"/>
    <w:rsid w:val="7C9B4B8A"/>
    <w:rsid w:val="7D813F24"/>
    <w:rsid w:val="7F70782A"/>
    <w:rsid w:val="7FF7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20"/>
    <w:rPr>
      <w:i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410</Words>
  <Characters>2339</Characters>
  <Lines>19</Lines>
  <Paragraphs>5</Paragraphs>
  <TotalTime>55</TotalTime>
  <ScaleCrop>false</ScaleCrop>
  <LinksUpToDate>false</LinksUpToDate>
  <CharactersWithSpaces>2744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2018-04-26T16:36:00Z</dcterms:created>
  <dc:creator>zhang ttt</dc:creator>
  <cp:lastModifiedBy>Administrator</cp:lastModifiedBy>
  <cp:lastPrinted>2018-05-07T03:25:00Z</cp:lastPrinted>
  <dcterms:modified xsi:type="dcterms:W3CDTF">2018-05-07T09:14:43Z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